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00618" w:rsidRPr="00800618" w:rsidRDefault="00800618" w:rsidP="00800618">
      <w:pPr>
        <w:jc w:val="center"/>
        <w:rPr>
          <w:rFonts w:ascii="Verdana" w:hAnsi="Verdana"/>
          <w:b/>
          <w:sz w:val="28"/>
          <w:lang w:val="en-US"/>
        </w:rPr>
      </w:pPr>
      <w:r w:rsidRPr="00800618">
        <w:rPr>
          <w:rFonts w:ascii="Verdana" w:hAnsi="Verdana"/>
          <w:b/>
          <w:sz w:val="28"/>
          <w:lang w:val="en-US"/>
        </w:rPr>
        <w:t>Tamil Nadu Generation and Distribution Corporation</w:t>
      </w:r>
      <w:r>
        <w:rPr>
          <w:rFonts w:ascii="Verdana" w:hAnsi="Verdana"/>
          <w:b/>
          <w:sz w:val="28"/>
          <w:lang w:val="en-US"/>
        </w:rPr>
        <w:t xml:space="preserve"> (TANGEDCO</w:t>
      </w:r>
      <w:bookmarkStart w:id="0" w:name="_GoBack"/>
      <w:bookmarkEnd w:id="0"/>
      <w:r>
        <w:rPr>
          <w:rFonts w:ascii="Verdana" w:hAnsi="Verdana"/>
          <w:b/>
          <w:sz w:val="28"/>
          <w:lang w:val="en-US"/>
        </w:rPr>
        <w:t>)</w:t>
      </w:r>
    </w:p>
    <w:p w:rsidR="00800618" w:rsidRDefault="00800618" w:rsidP="00443EBC">
      <w:pPr>
        <w:rPr>
          <w:rFonts w:ascii="Verdana" w:hAnsi="Verdana"/>
          <w:b/>
          <w:color w:val="538135" w:themeColor="accent6" w:themeShade="BF"/>
          <w:sz w:val="28"/>
          <w:u w:val="single"/>
          <w:lang w:val="en-US"/>
        </w:rPr>
      </w:pPr>
    </w:p>
    <w:p w:rsidR="00443EBC" w:rsidRPr="00443EBC" w:rsidRDefault="00443EBC" w:rsidP="00443EBC">
      <w:pPr>
        <w:rPr>
          <w:rFonts w:ascii="Verdana" w:hAnsi="Verdana"/>
          <w:b/>
          <w:color w:val="538135" w:themeColor="accent6" w:themeShade="BF"/>
          <w:sz w:val="28"/>
          <w:u w:val="single"/>
          <w:lang w:val="en-US"/>
        </w:rPr>
      </w:pPr>
      <w:r w:rsidRPr="00443EBC">
        <w:rPr>
          <w:rFonts w:ascii="Verdana" w:hAnsi="Verdana"/>
          <w:b/>
          <w:color w:val="538135" w:themeColor="accent6" w:themeShade="BF"/>
          <w:sz w:val="28"/>
          <w:u w:val="single"/>
          <w:lang w:val="en-US"/>
        </w:rPr>
        <w:t>Taxes and duties on Electricity:</w:t>
      </w:r>
    </w:p>
    <w:p w:rsidR="00443EBC" w:rsidRPr="00443EBC" w:rsidRDefault="00443EBC" w:rsidP="00443EBC">
      <w:pPr>
        <w:spacing w:line="360" w:lineRule="auto"/>
        <w:jc w:val="both"/>
        <w:rPr>
          <w:rFonts w:ascii="Verdana" w:hAnsi="Verdana" w:cs="Tahoma"/>
          <w:szCs w:val="24"/>
        </w:rPr>
      </w:pPr>
      <w:r w:rsidRPr="00443EBC">
        <w:rPr>
          <w:rFonts w:ascii="Verdana" w:hAnsi="Verdana" w:cs="Tahoma"/>
          <w:szCs w:val="24"/>
        </w:rPr>
        <w:t xml:space="preserve">As per Section 3 of the Tamil Nadu Tax on Consumption or Sale of Electricity (Amended) Act, 2007, a tax at a rate of 5% of the consumption charges is </w:t>
      </w:r>
      <w:proofErr w:type="spellStart"/>
      <w:r w:rsidRPr="00443EBC">
        <w:rPr>
          <w:rFonts w:ascii="Verdana" w:hAnsi="Verdana" w:cs="Tahoma"/>
          <w:szCs w:val="24"/>
        </w:rPr>
        <w:t>leviable</w:t>
      </w:r>
      <w:proofErr w:type="spellEnd"/>
      <w:r w:rsidRPr="00443EBC">
        <w:rPr>
          <w:rFonts w:ascii="Verdana" w:hAnsi="Verdana" w:cs="Tahoma"/>
          <w:szCs w:val="24"/>
        </w:rPr>
        <w:t xml:space="preserve"> for the electricity sold by the licensee.</w:t>
      </w:r>
    </w:p>
    <w:p w:rsidR="00443EBC" w:rsidRPr="00443EBC" w:rsidRDefault="00443EBC" w:rsidP="00443EBC">
      <w:pPr>
        <w:spacing w:line="360" w:lineRule="auto"/>
        <w:jc w:val="both"/>
        <w:rPr>
          <w:rFonts w:ascii="Verdana" w:hAnsi="Verdana" w:cs="Tahoma"/>
          <w:szCs w:val="24"/>
        </w:rPr>
      </w:pPr>
      <w:r w:rsidRPr="00443EBC">
        <w:rPr>
          <w:rFonts w:ascii="Verdana" w:hAnsi="Verdana" w:cs="Tahoma"/>
          <w:szCs w:val="24"/>
        </w:rPr>
        <w:tab/>
      </w:r>
      <w:r w:rsidRPr="00443EBC">
        <w:rPr>
          <w:rFonts w:ascii="Verdana" w:hAnsi="Verdana" w:cs="Tahoma"/>
          <w:szCs w:val="24"/>
        </w:rPr>
        <w:tab/>
        <w:t>In case of High Tension consumers, Electricity Tax is payable on</w:t>
      </w:r>
    </w:p>
    <w:p w:rsidR="00443EBC" w:rsidRPr="00443EBC" w:rsidRDefault="00443EBC" w:rsidP="00443EBC">
      <w:pPr>
        <w:pStyle w:val="ListParagraph"/>
        <w:numPr>
          <w:ilvl w:val="0"/>
          <w:numId w:val="1"/>
        </w:numPr>
        <w:spacing w:after="200" w:line="360" w:lineRule="auto"/>
        <w:jc w:val="both"/>
        <w:rPr>
          <w:rFonts w:ascii="Verdana" w:hAnsi="Verdana" w:cs="Tahoma"/>
          <w:szCs w:val="24"/>
        </w:rPr>
      </w:pPr>
      <w:r w:rsidRPr="00443EBC">
        <w:rPr>
          <w:rFonts w:ascii="Verdana" w:hAnsi="Verdana" w:cs="Tahoma"/>
          <w:szCs w:val="24"/>
        </w:rPr>
        <w:t>Recorded demand Charges</w:t>
      </w:r>
    </w:p>
    <w:p w:rsidR="00443EBC" w:rsidRPr="00443EBC" w:rsidRDefault="00443EBC" w:rsidP="00443EBC">
      <w:pPr>
        <w:pStyle w:val="ListParagraph"/>
        <w:numPr>
          <w:ilvl w:val="0"/>
          <w:numId w:val="1"/>
        </w:numPr>
        <w:spacing w:after="200" w:line="360" w:lineRule="auto"/>
        <w:jc w:val="both"/>
        <w:rPr>
          <w:rFonts w:ascii="Verdana" w:hAnsi="Verdana" w:cs="Tahoma"/>
          <w:szCs w:val="24"/>
        </w:rPr>
      </w:pPr>
      <w:r w:rsidRPr="00443EBC">
        <w:rPr>
          <w:rFonts w:ascii="Verdana" w:hAnsi="Verdana" w:cs="Tahoma"/>
          <w:szCs w:val="24"/>
        </w:rPr>
        <w:t>Energy charges</w:t>
      </w:r>
    </w:p>
    <w:p w:rsidR="00443EBC" w:rsidRPr="00443EBC" w:rsidRDefault="00443EBC" w:rsidP="00443EBC">
      <w:pPr>
        <w:pStyle w:val="ListParagraph"/>
        <w:numPr>
          <w:ilvl w:val="0"/>
          <w:numId w:val="1"/>
        </w:numPr>
        <w:spacing w:after="200" w:line="360" w:lineRule="auto"/>
        <w:jc w:val="both"/>
        <w:rPr>
          <w:rFonts w:ascii="Verdana" w:hAnsi="Verdana" w:cs="Tahoma"/>
          <w:szCs w:val="24"/>
        </w:rPr>
      </w:pPr>
      <w:r w:rsidRPr="00443EBC">
        <w:rPr>
          <w:rFonts w:ascii="Verdana" w:hAnsi="Verdana" w:cs="Tahoma"/>
          <w:szCs w:val="24"/>
        </w:rPr>
        <w:t xml:space="preserve">Low power factor penalty charges </w:t>
      </w:r>
    </w:p>
    <w:p w:rsidR="00443EBC" w:rsidRPr="00443EBC" w:rsidRDefault="00443EBC" w:rsidP="00443EBC">
      <w:pPr>
        <w:spacing w:line="360" w:lineRule="auto"/>
        <w:jc w:val="both"/>
        <w:rPr>
          <w:rFonts w:ascii="Verdana" w:hAnsi="Verdana" w:cs="Tahoma"/>
          <w:szCs w:val="24"/>
        </w:rPr>
      </w:pPr>
      <w:r w:rsidRPr="00443EBC">
        <w:rPr>
          <w:rFonts w:ascii="Verdana" w:hAnsi="Verdana" w:cs="Tahoma"/>
          <w:szCs w:val="24"/>
        </w:rPr>
        <w:tab/>
      </w:r>
      <w:r w:rsidRPr="00443EBC">
        <w:rPr>
          <w:rFonts w:ascii="Verdana" w:hAnsi="Verdana" w:cs="Tahoma"/>
          <w:szCs w:val="24"/>
        </w:rPr>
        <w:tab/>
        <w:t>In respect of Industrial consumers under HT tariff IA, the peak hour penalty charges will be added to Energy Charges.</w:t>
      </w:r>
    </w:p>
    <w:p w:rsidR="00635752" w:rsidRDefault="00635752"/>
    <w:sectPr w:rsidR="00635752" w:rsidSect="00443EBC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A667878"/>
    <w:multiLevelType w:val="hybridMultilevel"/>
    <w:tmpl w:val="C71617AA"/>
    <w:lvl w:ilvl="0" w:tplc="C1B0F00C">
      <w:start w:val="1"/>
      <w:numFmt w:val="decimal"/>
      <w:lvlText w:val="%1)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43EBC"/>
    <w:rsid w:val="001139A2"/>
    <w:rsid w:val="001458A2"/>
    <w:rsid w:val="00443EBC"/>
    <w:rsid w:val="00635752"/>
    <w:rsid w:val="008006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2737487"/>
  <w15:chartTrackingRefBased/>
  <w15:docId w15:val="{AABF7B58-3127-453B-9BF5-ED98ACA439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43EB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43EB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83</Words>
  <Characters>475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Deloitte Touche Tohmatsu Services, Inc.</Company>
  <LinksUpToDate>false</LinksUpToDate>
  <CharactersWithSpaces>557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Abdussamad, Nihal (IN - Chennai)</dc:creator>
  <cp:keywords/>
  <dc:description/>
  <cp:lastModifiedBy>Abdussamad, Nihal (IN - Chennai)</cp:lastModifiedBy>
  <cp:revision>2</cp:revision>
  <dcterms:created xsi:type="dcterms:W3CDTF">2017-12-07T08:25:00Z</dcterms:created>
  <dcterms:modified xsi:type="dcterms:W3CDTF">2017-12-07T08:33:00Z</dcterms:modified>
</cp:coreProperties>
</file>